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485B" w:rsidRPr="003F1442" w:rsidRDefault="00291B2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SMLOUVA O DÍLO</w:t>
      </w:r>
    </w:p>
    <w:p w14:paraId="00000002" w14:textId="77777777" w:rsidR="0061485B" w:rsidRPr="003F1442" w:rsidRDefault="00614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14:paraId="00000003" w14:textId="4C6C8178" w:rsidR="0061485B" w:rsidRPr="003F1442" w:rsidRDefault="003F1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 j. GHMP-17-2400-2021/</w:t>
      </w:r>
    </w:p>
    <w:p w14:paraId="00000004" w14:textId="77777777" w:rsidR="0061485B" w:rsidRPr="003F1442" w:rsidRDefault="00291B2B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I.</w:t>
      </w:r>
    </w:p>
    <w:p w14:paraId="00000005" w14:textId="77777777" w:rsidR="0061485B" w:rsidRPr="003F1442" w:rsidRDefault="00291B2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Smluvní strany</w:t>
      </w:r>
    </w:p>
    <w:p w14:paraId="00000006" w14:textId="77777777" w:rsidR="0061485B" w:rsidRPr="003F1442" w:rsidRDefault="0061485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</w:p>
    <w:p w14:paraId="00000007" w14:textId="22C962F0" w:rsidR="0061485B" w:rsidRPr="003F1442" w:rsidRDefault="00291B2B" w:rsidP="003F1442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Chars="0" w:left="0" w:firstLineChars="0" w:firstLine="0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Galerie hlavního města Prahy</w:t>
      </w:r>
      <w:r w:rsidR="003F1442">
        <w:rPr>
          <w:rFonts w:ascii="Arial" w:eastAsia="Tahoma" w:hAnsi="Arial" w:cs="Arial"/>
          <w:b/>
          <w:color w:val="000000"/>
          <w:sz w:val="22"/>
          <w:szCs w:val="22"/>
        </w:rPr>
        <w:t xml:space="preserve"> </w:t>
      </w:r>
      <w:r w:rsidR="003F1442">
        <w:rPr>
          <w:rFonts w:ascii="Arial" w:eastAsia="Arial" w:hAnsi="Arial" w:cs="Arial"/>
          <w:color w:val="000000"/>
          <w:sz w:val="22"/>
          <w:szCs w:val="22"/>
        </w:rPr>
        <w:t>(dále jen GHMP)</w:t>
      </w:r>
    </w:p>
    <w:p w14:paraId="00000008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after="6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Se sídlem: 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  <w:t>Staroměstské náměstí 605/13, Praha 1, Staré Město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</w:p>
    <w:p w14:paraId="00000009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977"/>
        </w:tabs>
        <w:spacing w:line="276" w:lineRule="auto"/>
        <w:ind w:left="0" w:hanging="2"/>
        <w:jc w:val="both"/>
        <w:rPr>
          <w:rFonts w:ascii="Arial" w:eastAsia="Tahoma" w:hAnsi="Arial" w:cs="Arial"/>
          <w:color w:val="FF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Zastoupená: 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  <w:t xml:space="preserve"> 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  <w:t>PhDr. Magdalenou Juříkovou, ředitelkou</w:t>
      </w:r>
    </w:p>
    <w:p w14:paraId="0000000A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977"/>
        </w:tabs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IČ: 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  <w:t>00064416</w:t>
      </w:r>
    </w:p>
    <w:p w14:paraId="0000000B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977"/>
        </w:tabs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DIČ: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  <w:t>CZ00064416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</w:p>
    <w:p w14:paraId="0000000C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977"/>
        </w:tabs>
        <w:spacing w:after="6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Číslo účtu: 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  <w:t xml:space="preserve"> 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>2000700006/6000</w:t>
      </w:r>
    </w:p>
    <w:p w14:paraId="0000000D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68"/>
        </w:tabs>
        <w:spacing w:line="276" w:lineRule="auto"/>
        <w:ind w:left="0" w:hanging="2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 (</w:t>
      </w:r>
      <w:r w:rsidRPr="003F1442">
        <w:rPr>
          <w:rFonts w:ascii="Arial" w:eastAsia="Tahoma" w:hAnsi="Arial" w:cs="Arial"/>
          <w:i/>
          <w:color w:val="000000"/>
          <w:sz w:val="22"/>
          <w:szCs w:val="22"/>
        </w:rPr>
        <w:t>dále jen „Objednatel“)</w:t>
      </w:r>
    </w:p>
    <w:p w14:paraId="0000000E" w14:textId="77777777" w:rsidR="0061485B" w:rsidRPr="003F1442" w:rsidRDefault="0061485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68"/>
        </w:tabs>
        <w:spacing w:line="276" w:lineRule="auto"/>
        <w:ind w:left="0" w:hanging="2"/>
        <w:rPr>
          <w:rFonts w:ascii="Arial" w:eastAsia="Tahoma" w:hAnsi="Arial" w:cs="Arial"/>
          <w:color w:val="000000"/>
          <w:sz w:val="22"/>
          <w:szCs w:val="22"/>
        </w:rPr>
      </w:pPr>
    </w:p>
    <w:p w14:paraId="0000000F" w14:textId="532C5A0C" w:rsidR="0061485B" w:rsidRPr="003F1442" w:rsidRDefault="003F1442" w:rsidP="003F144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0" w:left="0" w:firstLineChars="0" w:firstLine="0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…………………………….....</w:t>
      </w:r>
      <w:r w:rsidR="00291B2B"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>(doplní uchazeč)</w:t>
      </w:r>
    </w:p>
    <w:p w14:paraId="00000010" w14:textId="579E72B0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Se sídlem: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…………………………….....</w:t>
      </w:r>
      <w:r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>(doplní uchazeč)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</w:p>
    <w:p w14:paraId="00000011" w14:textId="29ADBB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Zastoupena:</w:t>
      </w:r>
      <w:r w:rsidR="003F1442">
        <w:rPr>
          <w:rFonts w:ascii="Arial" w:eastAsia="Tahoma" w:hAnsi="Arial" w:cs="Arial"/>
          <w:color w:val="000000"/>
          <w:sz w:val="22"/>
          <w:szCs w:val="22"/>
        </w:rPr>
        <w:tab/>
      </w:r>
      <w:r w:rsidR="003F1442">
        <w:rPr>
          <w:rFonts w:ascii="Arial" w:eastAsia="Tahoma" w:hAnsi="Arial" w:cs="Arial"/>
          <w:color w:val="000000"/>
          <w:sz w:val="22"/>
          <w:szCs w:val="22"/>
        </w:rPr>
        <w:tab/>
      </w:r>
      <w:r w:rsidR="003F1442"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…………………………….....</w:t>
      </w:r>
      <w:r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>(doplní uchazeč)</w:t>
      </w:r>
    </w:p>
    <w:p w14:paraId="00000012" w14:textId="12646A08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licence MK ČR: </w:t>
      </w:r>
      <w:r w:rsidR="003F1442">
        <w:rPr>
          <w:rFonts w:ascii="Arial" w:eastAsia="Tahoma" w:hAnsi="Arial" w:cs="Arial"/>
          <w:color w:val="000000"/>
          <w:sz w:val="22"/>
          <w:szCs w:val="22"/>
        </w:rPr>
        <w:tab/>
      </w:r>
      <w:r w:rsidR="003F1442"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…………………………….....</w:t>
      </w:r>
      <w:r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>(doplní uchazeč)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</w:p>
    <w:p w14:paraId="00000013" w14:textId="0D69BE44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IČ: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="003F1442">
        <w:rPr>
          <w:rFonts w:ascii="Arial" w:eastAsia="Tahoma" w:hAnsi="Arial" w:cs="Arial"/>
          <w:color w:val="000000"/>
          <w:sz w:val="22"/>
          <w:szCs w:val="22"/>
        </w:rPr>
        <w:tab/>
      </w:r>
      <w:r w:rsidR="003F1442"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…………………………….....</w:t>
      </w:r>
      <w:r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>(doplní uchazeč)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</w:p>
    <w:p w14:paraId="00000014" w14:textId="4F82A04D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DIČ: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="003F1442">
        <w:rPr>
          <w:rFonts w:ascii="Arial" w:eastAsia="Tahoma" w:hAnsi="Arial" w:cs="Arial"/>
          <w:color w:val="000000"/>
          <w:sz w:val="22"/>
          <w:szCs w:val="22"/>
        </w:rPr>
        <w:tab/>
      </w:r>
      <w:r w:rsidR="003F1442">
        <w:rPr>
          <w:rFonts w:ascii="Arial" w:eastAsia="Tahoma" w:hAnsi="Arial" w:cs="Arial"/>
          <w:color w:val="000000"/>
          <w:sz w:val="22"/>
          <w:szCs w:val="22"/>
        </w:rPr>
        <w:tab/>
      </w:r>
      <w:r w:rsidR="003F1442"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…………………………….....</w:t>
      </w:r>
      <w:r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>(doplní uchazeč)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</w:p>
    <w:p w14:paraId="00000015" w14:textId="40C30052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Bankovní spojení: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="003F1442"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…………………………….....</w:t>
      </w:r>
      <w:r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>(doplní uchazeč)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</w:p>
    <w:p w14:paraId="00000016" w14:textId="31FD7178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Číslo účtu: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="003F1442"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…………………………….....</w:t>
      </w:r>
      <w:r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>(doplní uchazeč)</w:t>
      </w:r>
      <w:r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ab/>
      </w:r>
    </w:p>
    <w:p w14:paraId="00000017" w14:textId="76E68214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Zapsána:</w:t>
      </w:r>
      <w:r w:rsidR="003F1442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="003F1442"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………..</w:t>
      </w:r>
      <w:r w:rsidR="003F1442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v obchodním rejstříku vedeném Krajským soudem v </w:t>
      </w:r>
      <w:r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………..</w:t>
      </w:r>
      <w:r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>(doplní uchazeč)</w:t>
      </w:r>
      <w:r w:rsidR="003F1442">
        <w:rPr>
          <w:rFonts w:ascii="Arial" w:eastAsia="Tahoma" w:hAnsi="Arial" w:cs="Arial"/>
          <w:b/>
          <w:color w:val="000000"/>
          <w:sz w:val="22"/>
          <w:szCs w:val="22"/>
        </w:rPr>
        <w:t xml:space="preserve"> 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oddíl </w:t>
      </w:r>
      <w:r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………………..</w:t>
      </w:r>
      <w:r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>(doplní uchazeč)</w:t>
      </w:r>
      <w:r w:rsid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,</w:t>
      </w:r>
      <w:r w:rsidR="003F1442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vložka </w:t>
      </w:r>
      <w:r w:rsidR="003F1442">
        <w:rPr>
          <w:rFonts w:ascii="Arial" w:eastAsia="Arial" w:hAnsi="Arial" w:cs="Arial"/>
          <w:color w:val="000000"/>
          <w:sz w:val="22"/>
          <w:szCs w:val="22"/>
        </w:rPr>
        <w:t>(dále jen GHMP)</w:t>
      </w:r>
      <w:r w:rsidR="003F1442"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 xml:space="preserve"> </w:t>
      </w:r>
      <w:r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>(doplní uchazeč)</w:t>
      </w:r>
    </w:p>
    <w:p w14:paraId="00000018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i/>
          <w:color w:val="000000"/>
          <w:sz w:val="22"/>
          <w:szCs w:val="22"/>
        </w:rPr>
        <w:t>(dále jen „Zhotovitel“)</w:t>
      </w:r>
    </w:p>
    <w:p w14:paraId="00000019" w14:textId="77777777" w:rsidR="0061485B" w:rsidRPr="003F1442" w:rsidRDefault="00291B2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II.</w:t>
      </w:r>
    </w:p>
    <w:p w14:paraId="0000001A" w14:textId="77777777" w:rsidR="0061485B" w:rsidRPr="003F1442" w:rsidRDefault="00291B2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Základní ustanovení</w:t>
      </w:r>
    </w:p>
    <w:p w14:paraId="0000001B" w14:textId="77777777" w:rsidR="0061485B" w:rsidRPr="003F1442" w:rsidRDefault="00291B2B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4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Smluvní strany uzavírají dle § 2586 a násl. zák. č. 89/2012 Sb. občanský zákoník tuto smlouvu o dílo (dále jen „Smlouva“). Závazkový vztah z této Smlouvy se dále řídí předpisy vztahujícími se k provádění staveb.</w:t>
      </w:r>
    </w:p>
    <w:p w14:paraId="0000001C" w14:textId="77777777" w:rsidR="0061485B" w:rsidRPr="003F1442" w:rsidRDefault="00291B2B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Účelem Smlouvy je zajištění a organizace sou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těžního dialogu pro výběr návrhu umělecké realizace osvětlení v podchodu stanice Florenc – Světlo pro metro (dále jen „soutěžní dialog“). </w:t>
      </w:r>
    </w:p>
    <w:p w14:paraId="0000001D" w14:textId="77777777" w:rsidR="0061485B" w:rsidRPr="003F1442" w:rsidRDefault="00291B2B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Smluvní strany prohlašují, že údaje uvedené v čl. I. Smlouvy a následně uvedené ve Smlouvě jsou v souladu s právní sk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utečností v době uzavření Smlouvy. Smluvní strany se zavazují, že změny dotčených údajů oznámí bez prodlení druhé smluvní straně. Smluvní strany prohlašují, že osoby podepisující tuto Smlouvu jsou k tomuto úkonu oprávněny.</w:t>
      </w:r>
    </w:p>
    <w:p w14:paraId="0000001E" w14:textId="77777777" w:rsidR="0061485B" w:rsidRPr="003F1442" w:rsidRDefault="00291B2B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Zhotovitel prohlašuje, že je odbo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rně způsobilý k zajištění předmětu smlouvy.</w:t>
      </w:r>
    </w:p>
    <w:p w14:paraId="0000001F" w14:textId="77777777" w:rsidR="0061485B" w:rsidRPr="003F1442" w:rsidRDefault="00291B2B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lastRenderedPageBreak/>
        <w:t>III.</w:t>
      </w:r>
    </w:p>
    <w:p w14:paraId="00000020" w14:textId="77777777" w:rsidR="0061485B" w:rsidRPr="003F1442" w:rsidRDefault="00291B2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Předmět smlouvy</w:t>
      </w:r>
    </w:p>
    <w:p w14:paraId="00000021" w14:textId="213CE869" w:rsidR="0061485B" w:rsidRPr="003F1442" w:rsidRDefault="003F1442" w:rsidP="003F144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0" w:firstLineChars="0" w:firstLine="0"/>
        <w:jc w:val="both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>1)</w:t>
      </w:r>
      <w:r>
        <w:rPr>
          <w:rFonts w:ascii="Arial" w:eastAsia="Tahoma" w:hAnsi="Arial" w:cs="Arial"/>
          <w:color w:val="000000"/>
          <w:sz w:val="22"/>
          <w:szCs w:val="22"/>
        </w:rPr>
        <w:tab/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>Zhotovitel se zavazuje provést pro Objednatele Dílo spočívající v organizaci soutěžního dialogu.</w:t>
      </w:r>
    </w:p>
    <w:p w14:paraId="00000022" w14:textId="77777777" w:rsidR="0061485B" w:rsidRPr="003F1442" w:rsidRDefault="00614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14:paraId="00000023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Soutěžní dialog bude realizován jako veřejná zakázka v souladu se zákonem č. 134/2016 Sb., o zadávání veřejných zakázek (dále ZZVZ), v platném znění, a s přihlédnutím k postupům stanoveným Soutěžním řádem České komory architektů (dále ČKA).</w:t>
      </w:r>
    </w:p>
    <w:p w14:paraId="00000024" w14:textId="77777777" w:rsidR="0061485B" w:rsidRPr="003F1442" w:rsidRDefault="00614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14:paraId="00000025" w14:textId="77777777" w:rsidR="0061485B" w:rsidRPr="003F1442" w:rsidRDefault="00291B2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příprava zadáv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ací dokumentace a podkladů </w:t>
      </w:r>
    </w:p>
    <w:p w14:paraId="00000026" w14:textId="77777777" w:rsidR="0061485B" w:rsidRPr="003F1442" w:rsidRDefault="00291B2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sestavení a vedení odborné komise, organizace zasedání (organizace, administrace) </w:t>
      </w:r>
    </w:p>
    <w:p w14:paraId="00000027" w14:textId="77777777" w:rsidR="0061485B" w:rsidRPr="003F1442" w:rsidRDefault="00291B2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přezkušování soutěžního dialogu certifikovanými orgány (ČKA) </w:t>
      </w:r>
    </w:p>
    <w:p w14:paraId="00000028" w14:textId="77777777" w:rsidR="0061485B" w:rsidRPr="003F1442" w:rsidRDefault="00291B2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vyhotovení všech zápisů z jednání komise a dokumentů zadavatele v souladu se ZZVZ</w:t>
      </w:r>
    </w:p>
    <w:p w14:paraId="00000029" w14:textId="77777777" w:rsidR="0061485B" w:rsidRPr="003F1442" w:rsidRDefault="00291B2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p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rávní služby </w:t>
      </w:r>
    </w:p>
    <w:p w14:paraId="0000002A" w14:textId="77777777" w:rsidR="0061485B" w:rsidRPr="003F1442" w:rsidRDefault="00291B2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překlad zadávací dokumentace </w:t>
      </w:r>
    </w:p>
    <w:p w14:paraId="0000002B" w14:textId="77777777" w:rsidR="0061485B" w:rsidRPr="003F1442" w:rsidRDefault="00291B2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služby tlumočníka </w:t>
      </w:r>
    </w:p>
    <w:p w14:paraId="0000002C" w14:textId="77777777" w:rsidR="0061485B" w:rsidRPr="003F1442" w:rsidRDefault="00291B2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organizace prohlídek ve spolupráci s DPP</w:t>
      </w:r>
    </w:p>
    <w:p w14:paraId="0000002D" w14:textId="77777777" w:rsidR="0061485B" w:rsidRPr="003F1442" w:rsidRDefault="00291B2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příprava podkladů pro soutěžící – (např. příprava podkladů pro návrhy, plány, výkresy…)</w:t>
      </w:r>
    </w:p>
    <w:p w14:paraId="0000002E" w14:textId="77777777" w:rsidR="0061485B" w:rsidRPr="003F1442" w:rsidRDefault="00291B2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podílení se na administraci VZ a produkci soutěžního dialogu (komunikace s účastníky, příjem a příprava prací)</w:t>
      </w:r>
    </w:p>
    <w:p w14:paraId="0000002F" w14:textId="77777777" w:rsidR="0061485B" w:rsidRPr="003F1442" w:rsidRDefault="00291B2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propagace + grafika (vizuální stránku soutěže, </w:t>
      </w:r>
      <w:proofErr w:type="spellStart"/>
      <w:r w:rsidRPr="003F1442">
        <w:rPr>
          <w:rFonts w:ascii="Arial" w:eastAsia="Tahoma" w:hAnsi="Arial" w:cs="Arial"/>
          <w:color w:val="000000"/>
          <w:sz w:val="22"/>
          <w:szCs w:val="22"/>
        </w:rPr>
        <w:t>copywriting</w:t>
      </w:r>
      <w:proofErr w:type="spellEnd"/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, PR a komunikace, včetně 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odborných zahraničních webových portálů)</w:t>
      </w:r>
    </w:p>
    <w:p w14:paraId="00000030" w14:textId="77777777" w:rsidR="0061485B" w:rsidRPr="003F1442" w:rsidRDefault="00614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14:paraId="00000031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Náklady na odměny č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lenů komise soutěžního dialogu hradí zadavatel.</w:t>
      </w:r>
    </w:p>
    <w:p w14:paraId="00000032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Náhrady výloh a odměn pro účastníky hradí zadavatel.</w:t>
      </w:r>
    </w:p>
    <w:p w14:paraId="00000033" w14:textId="77777777" w:rsidR="0061485B" w:rsidRPr="003F1442" w:rsidRDefault="00614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14:paraId="00000034" w14:textId="77777777" w:rsidR="0061485B" w:rsidRPr="003F1442" w:rsidRDefault="00291B2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4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Případné vícepráce či </w:t>
      </w:r>
      <w:proofErr w:type="spellStart"/>
      <w:r w:rsidRPr="003F1442">
        <w:rPr>
          <w:rFonts w:ascii="Arial" w:eastAsia="Tahoma" w:hAnsi="Arial" w:cs="Arial"/>
          <w:color w:val="000000"/>
          <w:sz w:val="22"/>
          <w:szCs w:val="22"/>
        </w:rPr>
        <w:t>méněpráce</w:t>
      </w:r>
      <w:proofErr w:type="spellEnd"/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 budou oběma smluvními stranami sjednány písemnými změnami Smlouvy v podobě dodatku ke Smlouvě a budou realizovány až po uzavření tohoto dodatku. </w:t>
      </w:r>
    </w:p>
    <w:p w14:paraId="00000035" w14:textId="7F0A2BF3" w:rsidR="0061485B" w:rsidRPr="003F1442" w:rsidRDefault="003F1442" w:rsidP="003F14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40" w:lineRule="auto"/>
        <w:ind w:leftChars="0" w:left="-2" w:firstLineChars="0" w:firstLine="0"/>
        <w:jc w:val="both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>2)</w:t>
      </w:r>
      <w:r>
        <w:rPr>
          <w:rFonts w:ascii="Arial" w:eastAsia="Tahoma" w:hAnsi="Arial" w:cs="Arial"/>
          <w:color w:val="000000"/>
          <w:sz w:val="22"/>
          <w:szCs w:val="22"/>
        </w:rPr>
        <w:tab/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>Smluvní strany prohlašují, že předmět smlouvy není plněním nemožným, a že Smlo</w:t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>uvu uzavřely po pečlivém zvážení všech možných důsledků.</w:t>
      </w:r>
    </w:p>
    <w:p w14:paraId="00000036" w14:textId="77777777" w:rsidR="0061485B" w:rsidRPr="003F1442" w:rsidRDefault="00614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ahoma" w:hAnsi="Arial" w:cs="Arial"/>
          <w:color w:val="000000"/>
          <w:sz w:val="22"/>
          <w:szCs w:val="22"/>
        </w:rPr>
      </w:pPr>
    </w:p>
    <w:p w14:paraId="00000038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IV.</w:t>
      </w:r>
    </w:p>
    <w:p w14:paraId="00000039" w14:textId="77777777" w:rsidR="0061485B" w:rsidRPr="003F1442" w:rsidRDefault="00291B2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 xml:space="preserve">Místo a </w:t>
      </w:r>
      <w:r w:rsidRPr="003F1442">
        <w:rPr>
          <w:rFonts w:ascii="Arial" w:eastAsia="Tahoma" w:hAnsi="Arial" w:cs="Arial"/>
          <w:b/>
          <w:sz w:val="22"/>
          <w:szCs w:val="22"/>
        </w:rPr>
        <w:t>doba</w:t>
      </w: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 xml:space="preserve"> plnění</w:t>
      </w:r>
    </w:p>
    <w:p w14:paraId="0000003A" w14:textId="77777777" w:rsidR="0061485B" w:rsidRPr="003F1442" w:rsidRDefault="00291B2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1) Místem plnění je </w:t>
      </w: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Praha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.</w:t>
      </w:r>
    </w:p>
    <w:p w14:paraId="0000003B" w14:textId="77777777" w:rsidR="0061485B" w:rsidRPr="003F1442" w:rsidRDefault="00291B2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2) Zhotovitel se zavazuje započít s realizací díla do 15 dnů ode dne podepsání Smlouvy. </w:t>
      </w:r>
    </w:p>
    <w:p w14:paraId="0000003C" w14:textId="4942F405" w:rsidR="0061485B" w:rsidRPr="003F1442" w:rsidRDefault="003F1442" w:rsidP="003F1442">
      <w:pPr>
        <w:keepLines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b/>
          <w:color w:val="000000"/>
          <w:sz w:val="22"/>
          <w:szCs w:val="22"/>
        </w:rPr>
        <w:tab/>
      </w:r>
      <w:r w:rsidR="00291B2B" w:rsidRPr="003F1442">
        <w:rPr>
          <w:rFonts w:ascii="Arial" w:eastAsia="Tahoma" w:hAnsi="Arial" w:cs="Arial"/>
          <w:b/>
          <w:color w:val="000000"/>
          <w:sz w:val="22"/>
          <w:szCs w:val="22"/>
        </w:rPr>
        <w:t>1. ČÁST</w:t>
      </w:r>
    </w:p>
    <w:p w14:paraId="0000003D" w14:textId="77777777" w:rsidR="0061485B" w:rsidRPr="003F1442" w:rsidRDefault="00291B2B" w:rsidP="003F14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etapa: </w:t>
      </w:r>
    </w:p>
    <w:p w14:paraId="0000003E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Zahájení přípravy a kompletace zadávací dokumentace pro vyhlášení soutěžního dialogu  </w:t>
      </w:r>
    </w:p>
    <w:p w14:paraId="0000003F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 xml:space="preserve">Předpokládané plnění </w:t>
      </w:r>
      <w:r w:rsidRPr="003F1442">
        <w:rPr>
          <w:rFonts w:ascii="Arial" w:eastAsia="Tahoma" w:hAnsi="Arial" w:cs="Arial"/>
          <w:b/>
          <w:sz w:val="22"/>
          <w:szCs w:val="22"/>
        </w:rPr>
        <w:t>–</w:t>
      </w: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 xml:space="preserve"> srpen 2021</w:t>
      </w:r>
    </w:p>
    <w:p w14:paraId="00000040" w14:textId="77777777" w:rsidR="0061485B" w:rsidRPr="003F1442" w:rsidRDefault="00291B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etapa:</w:t>
      </w:r>
    </w:p>
    <w:p w14:paraId="00000041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Vyhlášení soutěžního dialogu – otevřená výzva pro podání přihlášek </w:t>
      </w:r>
    </w:p>
    <w:p w14:paraId="00000042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Předpokládané plnění – září 2021</w:t>
      </w:r>
    </w:p>
    <w:p w14:paraId="00000044" w14:textId="25EC3BF4" w:rsidR="0061485B" w:rsidRPr="003F1442" w:rsidRDefault="00291B2B" w:rsidP="003F144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lastRenderedPageBreak/>
        <w:t>2. ČÁST</w:t>
      </w:r>
    </w:p>
    <w:p w14:paraId="00000045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Výběr účastníků soutěžního dialogu na základě předložených přihlášek </w:t>
      </w:r>
    </w:p>
    <w:p w14:paraId="00000046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Organizace jednání hodnotící Komise</w:t>
      </w:r>
    </w:p>
    <w:p w14:paraId="30B14649" w14:textId="77777777" w:rsidR="003F1442" w:rsidRDefault="00291B2B" w:rsidP="003F1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Předpokládané plnění – listopad/prosinec 2021</w:t>
      </w:r>
    </w:p>
    <w:p w14:paraId="00000049" w14:textId="3BEADFAD" w:rsidR="0061485B" w:rsidRPr="003F1442" w:rsidRDefault="003F1442" w:rsidP="003F144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3F1442">
        <w:rPr>
          <w:rFonts w:ascii="Arial" w:hAnsi="Arial" w:cs="Arial"/>
          <w:b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91B2B" w:rsidRPr="003F1442">
        <w:rPr>
          <w:rFonts w:ascii="Arial" w:eastAsia="Tahoma" w:hAnsi="Arial" w:cs="Arial"/>
          <w:b/>
          <w:color w:val="000000"/>
          <w:sz w:val="22"/>
          <w:szCs w:val="22"/>
        </w:rPr>
        <w:t xml:space="preserve">ČÁST </w:t>
      </w:r>
    </w:p>
    <w:p w14:paraId="0000004A" w14:textId="3873D48F" w:rsidR="0061485B" w:rsidRPr="003F1442" w:rsidRDefault="003F1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>1.</w:t>
      </w:r>
      <w:r>
        <w:rPr>
          <w:rFonts w:ascii="Arial" w:eastAsia="Tahoma" w:hAnsi="Arial" w:cs="Arial"/>
          <w:color w:val="000000"/>
          <w:sz w:val="22"/>
          <w:szCs w:val="22"/>
        </w:rPr>
        <w:tab/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 xml:space="preserve">etapa: </w:t>
      </w:r>
    </w:p>
    <w:p w14:paraId="0000004B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Organizace vlastního soutěžního dialogu s vybranými účastníky a zástupci zadavatele, Dopravního podniku, projektanty rekonstrukce podchodu a dodavateli rekonstrukčních prací</w:t>
      </w:r>
    </w:p>
    <w:p w14:paraId="0000004C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Předpokládané plnění – leden - duben 2022</w:t>
      </w:r>
    </w:p>
    <w:p w14:paraId="0000004D" w14:textId="33935D59" w:rsidR="0061485B" w:rsidRPr="003F1442" w:rsidRDefault="003F14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>2.</w:t>
      </w:r>
      <w:r>
        <w:rPr>
          <w:rFonts w:ascii="Arial" w:eastAsia="Tahoma" w:hAnsi="Arial" w:cs="Arial"/>
          <w:color w:val="000000"/>
          <w:sz w:val="22"/>
          <w:szCs w:val="22"/>
        </w:rPr>
        <w:tab/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>etapa:</w:t>
      </w:r>
    </w:p>
    <w:p w14:paraId="0000004E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Dokončení soutěžního d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ialogu, výběr vítězného návrhu a zahájení jednání o realizaci s vybraným účastníkem</w:t>
      </w:r>
    </w:p>
    <w:p w14:paraId="0000004F" w14:textId="77777777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Předpokládané plnění – červen 2022</w:t>
      </w:r>
    </w:p>
    <w:p w14:paraId="00000050" w14:textId="77777777" w:rsidR="0061485B" w:rsidRPr="003F1442" w:rsidRDefault="00291B2B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V.</w:t>
      </w:r>
    </w:p>
    <w:p w14:paraId="00000051" w14:textId="77777777" w:rsidR="0061485B" w:rsidRPr="003F1442" w:rsidRDefault="00291B2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Cena díla</w:t>
      </w:r>
    </w:p>
    <w:p w14:paraId="00000052" w14:textId="77777777" w:rsidR="0061485B" w:rsidRPr="003F1442" w:rsidRDefault="00291B2B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Cena za celé provedené dílo je stanovena dohodou smluvních stran a činí:  </w:t>
      </w:r>
    </w:p>
    <w:p w14:paraId="00000053" w14:textId="3CF4E8F9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bez DPH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………………………………..................................................</w:t>
      </w:r>
      <w:r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>(doplní uchazeč)</w:t>
      </w:r>
      <w:r w:rsid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 xml:space="preserve">,- </w:t>
      </w:r>
      <w:r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Kč</w:t>
      </w:r>
    </w:p>
    <w:p w14:paraId="00000054" w14:textId="70C62EF8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DPH ve výši 21</w:t>
      </w:r>
      <w:r w:rsidRPr="003F1442">
        <w:rPr>
          <w:rFonts w:ascii="Arial" w:eastAsia="Tahoma" w:hAnsi="Arial" w:cs="Arial"/>
          <w:color w:val="000000"/>
          <w:sz w:val="22"/>
          <w:szCs w:val="22"/>
          <w:highlight w:val="white"/>
        </w:rPr>
        <w:t xml:space="preserve">% </w:t>
      </w:r>
      <w:r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……...................................................…………...</w:t>
      </w:r>
      <w:r w:rsid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....</w:t>
      </w:r>
      <w:r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>(doplní uchazeč)</w:t>
      </w:r>
      <w:r w:rsid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 xml:space="preserve">,- </w:t>
      </w:r>
      <w:r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Kč</w:t>
      </w:r>
    </w:p>
    <w:p w14:paraId="00000055" w14:textId="305CD5B8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a cena celkem včetně DPH činí </w:t>
      </w:r>
      <w:r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………........................................…</w:t>
      </w:r>
      <w:r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.</w:t>
      </w:r>
      <w:r w:rsid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..</w:t>
      </w:r>
      <w:r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>(doplní uchazeč)</w:t>
      </w:r>
      <w:r w:rsid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,-</w:t>
      </w:r>
      <w:r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 xml:space="preserve"> Kč</w:t>
      </w:r>
    </w:p>
    <w:p w14:paraId="00000056" w14:textId="77777777" w:rsidR="0061485B" w:rsidRPr="003F1442" w:rsidRDefault="0061485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14:paraId="00000057" w14:textId="6E923485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(slovy</w:t>
      </w:r>
      <w:r w:rsidRPr="003F1442">
        <w:rPr>
          <w:rFonts w:ascii="Arial" w:eastAsia="Tahoma" w:hAnsi="Arial" w:cs="Arial"/>
          <w:color w:val="000000"/>
          <w:sz w:val="22"/>
          <w:szCs w:val="22"/>
          <w:highlight w:val="white"/>
        </w:rPr>
        <w:t>:</w:t>
      </w:r>
      <w:r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……………</w:t>
      </w:r>
      <w:r w:rsid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……………………</w:t>
      </w:r>
      <w:r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……………………….</w:t>
      </w:r>
      <w:r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 xml:space="preserve"> </w:t>
      </w:r>
      <w:r w:rsidRPr="003F1442">
        <w:rPr>
          <w:rFonts w:ascii="Arial" w:eastAsia="Tahoma" w:hAnsi="Arial" w:cs="Arial"/>
          <w:b/>
          <w:color w:val="000000"/>
          <w:sz w:val="22"/>
          <w:szCs w:val="22"/>
          <w:highlight w:val="lightGray"/>
        </w:rPr>
        <w:t>(doplní uchazeč)</w:t>
      </w: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 xml:space="preserve"> </w:t>
      </w:r>
      <w:r w:rsidRPr="003F1442">
        <w:rPr>
          <w:rFonts w:ascii="Arial" w:eastAsia="Tahoma" w:hAnsi="Arial" w:cs="Arial"/>
          <w:sz w:val="22"/>
          <w:szCs w:val="22"/>
        </w:rPr>
        <w:t>k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orun</w:t>
      </w:r>
      <w:r w:rsidRPr="003F1442">
        <w:rPr>
          <w:rFonts w:ascii="Arial" w:eastAsia="Tahoma" w:hAnsi="Arial" w:cs="Arial"/>
          <w:sz w:val="22"/>
          <w:szCs w:val="22"/>
        </w:rPr>
        <w:t xml:space="preserve"> 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českých)</w:t>
      </w:r>
    </w:p>
    <w:p w14:paraId="00000058" w14:textId="77777777" w:rsidR="0061485B" w:rsidRPr="003F1442" w:rsidRDefault="00291B2B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Cena díla včetně DPH uvedená v odst. 1. tohoto článku je cenou nejvýše přípustnou a platí po celou dobu platnosti této Smlouvy. Celková cena může být měněna pouze v souvislosti se změnou DPH. </w:t>
      </w:r>
    </w:p>
    <w:p w14:paraId="00000059" w14:textId="77777777" w:rsidR="0061485B" w:rsidRPr="003F1442" w:rsidRDefault="00291B2B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Součástí sjednané ceny jsou veškeré práce a dodávky, poplatky a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 jiné náklady Zhotovitele nezbytné pro řádné a úplné zhotovení díla včetně činností dle čl. III této Smlouvy včetně prací a dodávek, které v zadávací dokumentaci nebo ve Smlouvě uvedeny nejsou a Zhotovitel jakožto odborník o nich vědět měl nebo mohl vědět.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 </w:t>
      </w:r>
    </w:p>
    <w:p w14:paraId="0000005A" w14:textId="77777777" w:rsidR="0061485B" w:rsidRPr="003F1442" w:rsidRDefault="00291B2B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Cena obsahuje i případně zvýšené náklady spojené s vývojem cen vstupních nákladů, a to až do doby ukončení díla a komplexní proškolení všech pracovníků a případných subdodavatelů Zhotovitele.</w:t>
      </w:r>
    </w:p>
    <w:p w14:paraId="0000005B" w14:textId="77777777" w:rsidR="0061485B" w:rsidRPr="003F1442" w:rsidRDefault="00291B2B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Cenu díla bude možné měnit odečtením veškerých nákladů na prov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edení těch částí díla, které Objednatel nařídil formou </w:t>
      </w:r>
      <w:proofErr w:type="spellStart"/>
      <w:r w:rsidRPr="003F1442">
        <w:rPr>
          <w:rFonts w:ascii="Arial" w:eastAsia="Tahoma" w:hAnsi="Arial" w:cs="Arial"/>
          <w:color w:val="000000"/>
          <w:sz w:val="22"/>
          <w:szCs w:val="22"/>
        </w:rPr>
        <w:t>méněprací</w:t>
      </w:r>
      <w:proofErr w:type="spellEnd"/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 neprovádět. Náklady na </w:t>
      </w:r>
      <w:proofErr w:type="spellStart"/>
      <w:r w:rsidRPr="003F1442">
        <w:rPr>
          <w:rFonts w:ascii="Arial" w:eastAsia="Tahoma" w:hAnsi="Arial" w:cs="Arial"/>
          <w:color w:val="000000"/>
          <w:sz w:val="22"/>
          <w:szCs w:val="22"/>
        </w:rPr>
        <w:t>méněpráce</w:t>
      </w:r>
      <w:proofErr w:type="spellEnd"/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 budou odečteny ve výši součtu veškerých odpovídajících položek a nákladů neprovedených dle Položkového rozpočtu (který je součástí nabídky Zhotovitele podané 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v rámci veřejné zakázky na předmět plnění (dále jen „položkový rozpočet“).</w:t>
      </w:r>
    </w:p>
    <w:p w14:paraId="0000005D" w14:textId="45DAA2B0" w:rsidR="0061485B" w:rsidRPr="003F1442" w:rsidRDefault="00291B2B" w:rsidP="00721E04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40" w:lineRule="auto"/>
        <w:ind w:left="0"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V případě, že dojde k prodlení s předáním Díla z důvodů ležících na straně Zhotovitele, je tato cena neměnná až do doby skutečného splnění Díla. </w:t>
      </w:r>
    </w:p>
    <w:p w14:paraId="0000005E" w14:textId="77777777" w:rsidR="0061485B" w:rsidRPr="003F1442" w:rsidRDefault="00291B2B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lastRenderedPageBreak/>
        <w:t>VI.</w:t>
      </w:r>
    </w:p>
    <w:p w14:paraId="0000005F" w14:textId="77777777" w:rsidR="0061485B" w:rsidRPr="003F1442" w:rsidRDefault="00291B2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Platební podmínky</w:t>
      </w:r>
    </w:p>
    <w:p w14:paraId="00000060" w14:textId="77777777" w:rsidR="0061485B" w:rsidRPr="003F1442" w:rsidRDefault="00291B2B" w:rsidP="003F1442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Zálohy na platby nejsou sjednány.</w:t>
      </w:r>
    </w:p>
    <w:p w14:paraId="00000061" w14:textId="77777777" w:rsidR="0061485B" w:rsidRPr="003F1442" w:rsidRDefault="00291B2B" w:rsidP="003F1442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Zhotovitel předloží Objednateli vždy po dokončení prací na sjednané části Díla dle etap specifikovaných v čl. VI. odst. 1 Smlouvy soupis provedených prací spolu s jejich vyúčtováním dle položkového rozpočtu. </w:t>
      </w:r>
    </w:p>
    <w:p w14:paraId="00000062" w14:textId="77777777" w:rsidR="0061485B" w:rsidRPr="003F1442" w:rsidRDefault="00291B2B" w:rsidP="003F1442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Podkladem pro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 úhradu smluvní ceny dodaného Díla budou faktury, které budou mít náležitosti daňového dokladu dle § 28 zákona č. 235/2004 Sb., o dani z přidané hodnoty, ve znění pozdějších předpisů (dále jen „faktura“).</w:t>
      </w:r>
    </w:p>
    <w:p w14:paraId="00000063" w14:textId="77777777" w:rsidR="0061485B" w:rsidRPr="003F1442" w:rsidRDefault="00291B2B" w:rsidP="003F1442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Kromě náležitostí stanovených platnými právními pře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dpisy pro daňový doklad je Zhotovitel povinen ve faktuře uvést i tyto údaje:</w:t>
      </w:r>
    </w:p>
    <w:p w14:paraId="00000064" w14:textId="77777777" w:rsidR="0061485B" w:rsidRPr="003F1442" w:rsidRDefault="00291B2B" w:rsidP="003F1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193" w:firstLine="425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číslo a datum vystavení faktury,</w:t>
      </w:r>
    </w:p>
    <w:p w14:paraId="00000065" w14:textId="77777777" w:rsidR="0061485B" w:rsidRPr="003F1442" w:rsidRDefault="00291B2B" w:rsidP="003F1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193" w:firstLine="425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číslo Smlouvy a datum jejího uzavření, </w:t>
      </w:r>
    </w:p>
    <w:p w14:paraId="00000066" w14:textId="77777777" w:rsidR="0061485B" w:rsidRPr="003F1442" w:rsidRDefault="00291B2B" w:rsidP="003F1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193" w:firstLine="425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předmět smlouvy, jeho přesnou specifikaci,</w:t>
      </w:r>
    </w:p>
    <w:p w14:paraId="00000067" w14:textId="77777777" w:rsidR="0061485B" w:rsidRPr="003F1442" w:rsidRDefault="00291B2B" w:rsidP="003F1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193" w:firstLine="425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označení banky a číslo účtu, na který musí být zaplaceno,</w:t>
      </w:r>
    </w:p>
    <w:p w14:paraId="00000068" w14:textId="77777777" w:rsidR="0061485B" w:rsidRPr="003F1442" w:rsidRDefault="00291B2B" w:rsidP="003F1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193" w:firstLine="425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lhůtu splatnosti faktury,</w:t>
      </w:r>
    </w:p>
    <w:p w14:paraId="00000069" w14:textId="77777777" w:rsidR="0061485B" w:rsidRPr="003F1442" w:rsidRDefault="00291B2B" w:rsidP="003F1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193" w:firstLine="425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označení osoby, která fakturu vyhotovila, včetně jejího podpisu a kontaktního telefonu,</w:t>
      </w:r>
    </w:p>
    <w:p w14:paraId="0000006A" w14:textId="77777777" w:rsidR="0061485B" w:rsidRPr="003F1442" w:rsidRDefault="00291B2B" w:rsidP="003F1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193" w:firstLine="425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IČ a DIČ Objednatele a Zhotovitele, jejich přesné názvy a sídlo.</w:t>
      </w:r>
    </w:p>
    <w:p w14:paraId="0000006C" w14:textId="77777777" w:rsidR="0061485B" w:rsidRPr="003F1442" w:rsidRDefault="00291B2B" w:rsidP="003F1442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360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Splatnost faktury je 30 dní.</w:t>
      </w:r>
    </w:p>
    <w:p w14:paraId="0000006E" w14:textId="77777777" w:rsidR="0061485B" w:rsidRPr="003F1442" w:rsidRDefault="00291B2B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VII.</w:t>
      </w:r>
    </w:p>
    <w:p w14:paraId="0000006F" w14:textId="77777777" w:rsidR="0061485B" w:rsidRPr="003F1442" w:rsidRDefault="00291B2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center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Odpovědnost za škody a pojištění</w:t>
      </w:r>
    </w:p>
    <w:p w14:paraId="6D92D2E8" w14:textId="10468C6F" w:rsidR="003F1442" w:rsidRDefault="00291B2B" w:rsidP="003F1442">
      <w:pPr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Zhotovitel nese veškerou odpovědnost za škody způsobené všemi osobami a subjekty (včetně subdodavatelů) podílejícími se na provádění předmětného díla, a to po celou dobu realizace, tzn. do převzetí díla Objednatelem bez vad a nedodělků, stejně tak za škody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 způsobené svou činností Objednateli nebo třetí osobně na zdraví nebo majetku, tzn., že v případě jakéhokoliv narušení či poškození majetku (např. vjezdů, plotů, objektů, prostranství, inženýrských sítí) nebo poškození zdraví osob je Zhotovitel povinen bez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 zbytečného odkladu tuto škodu odstranit a není-li to možné, tak finančně uhradit.</w:t>
      </w:r>
    </w:p>
    <w:p w14:paraId="00000071" w14:textId="16F1EF4D" w:rsidR="0061485B" w:rsidRPr="003F1442" w:rsidRDefault="003F1442" w:rsidP="003F1442">
      <w:pPr>
        <w:ind w:left="-2" w:firstLineChars="0" w:firstLine="0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z w:val="22"/>
          <w:szCs w:val="22"/>
        </w:rPr>
        <w:t>2)</w:t>
      </w:r>
      <w:r>
        <w:rPr>
          <w:rFonts w:ascii="Arial" w:eastAsia="Tahoma" w:hAnsi="Arial" w:cs="Arial"/>
          <w:sz w:val="22"/>
          <w:szCs w:val="22"/>
        </w:rPr>
        <w:tab/>
        <w:t>Z</w:t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>hotovitel je povinen bez ohledu na rozsah odpovědnosti Objednatele uzavřít pojistnou smlouvu nebo pojistný certifikát, jejich předmětem je pojištění odpovědnosti za škodu z</w:t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>působenou uchazečem třetí osobě, resp. škodu způsobenou při výkonu povolání, s pojistným krytím min. ve výši 2.000.000,-Kč a dále pojištění odpovědnosti uchazeče proti škodě způsobené vloupáním nebo odcizením věcí uschovaných v ateliéru Zhotovitele s pojis</w:t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>tným krytím min. ve výši 2.000.000,-Kč. K prokázání tohoto předpokladu předloží Zhotovitel platnou pojistnou smlouvu nebo pojistný certifikát, jejichž předmětem je pojištění výše uvedených pojistných rizik, a to min. v požadované výši pojistného krytí, pří</w:t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>padně doplněný o příslib navýšení pojistné částky vystavený příslušnou pojišťovnou, ze kterého vyplývá, že v případě získání zakázky Objednatelem bude pojistná smlouva do požadované výše pojistného krytí navýšena. Z předložených dokladů musí být zřejmý roz</w:t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 xml:space="preserve">sah pojištění a výše pojistného krytí a doba platnosti pojištění. </w:t>
      </w:r>
    </w:p>
    <w:p w14:paraId="00000072" w14:textId="77777777" w:rsidR="0061485B" w:rsidRPr="003F1442" w:rsidRDefault="00291B2B">
      <w:pPr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lastRenderedPageBreak/>
        <w:t>Toto pojištění se Zhotovitel zavazuje udržovat po celou dobu realizace díla.</w:t>
      </w:r>
    </w:p>
    <w:p w14:paraId="00000073" w14:textId="77777777" w:rsidR="0061485B" w:rsidRPr="003F1442" w:rsidRDefault="00291B2B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VIII.</w:t>
      </w:r>
    </w:p>
    <w:p w14:paraId="00000074" w14:textId="77777777" w:rsidR="0061485B" w:rsidRPr="003F1442" w:rsidRDefault="00291B2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Zánik Smlouvy</w:t>
      </w:r>
    </w:p>
    <w:p w14:paraId="00000075" w14:textId="77777777" w:rsidR="0061485B" w:rsidRPr="003F1442" w:rsidRDefault="00291B2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Smluvní strany mohou ukončit smluvní vztah písemnou dohodou.</w:t>
      </w:r>
    </w:p>
    <w:p w14:paraId="00000076" w14:textId="77777777" w:rsidR="0061485B" w:rsidRPr="003F1442" w:rsidRDefault="00291B2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Objednatel je oprávněn odstoupit od Smlouvy v případě, že mu nebudou přiděleny finanční prostředky na realizaci Díla zřizovatelem Objednatele Magistrátem hl. města Prahy. Zhotovitel má v případě odstoupení od smlouvy ze strany Objednatele nárok pouze na úh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radu odměny za již vykonané práce na realizaci Díla.</w:t>
      </w:r>
    </w:p>
    <w:p w14:paraId="00000077" w14:textId="77777777" w:rsidR="0061485B" w:rsidRPr="003F1442" w:rsidRDefault="00291B2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Smluvní strany si vyhrazují právo odstoupit od Smlouvy v případě jejího podstatného porušení druhou smluvní stranou, přičemž podstatným porušením Smlouvy se rozumí zejména:</w:t>
      </w:r>
    </w:p>
    <w:p w14:paraId="00000078" w14:textId="77777777" w:rsidR="0061485B" w:rsidRPr="003F1442" w:rsidRDefault="00291B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60"/>
          <w:tab w:val="left" w:pos="1980"/>
          <w:tab w:val="left" w:pos="3960"/>
        </w:tabs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neprovedení Díla v době plnění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 dle čl. VI. odst. 1 této Smlouvy,</w:t>
      </w:r>
    </w:p>
    <w:p w14:paraId="00000079" w14:textId="77777777" w:rsidR="0061485B" w:rsidRPr="003F1442" w:rsidRDefault="00291B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60"/>
          <w:tab w:val="left" w:pos="1980"/>
          <w:tab w:val="left" w:pos="3960"/>
        </w:tabs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nedodržení pokynů Objednatele, právních předpisů nebo technických norem týkajících se provádění Díla, </w:t>
      </w:r>
    </w:p>
    <w:p w14:paraId="0000007A" w14:textId="77777777" w:rsidR="0061485B" w:rsidRPr="003F1442" w:rsidRDefault="00291B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60"/>
          <w:tab w:val="left" w:pos="1980"/>
          <w:tab w:val="left" w:pos="3960"/>
        </w:tabs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provádění Díla v rozporu s ustanoveními této Smlouvy nebo porušuje-li povinnosti stanovené touto Smlouvou a nezjedná-l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i Zhotovitel neprodleně po upozornění nápravu,</w:t>
      </w:r>
    </w:p>
    <w:p w14:paraId="0000007B" w14:textId="77777777" w:rsidR="0061485B" w:rsidRPr="003F1442" w:rsidRDefault="00291B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60"/>
          <w:tab w:val="left" w:pos="1980"/>
          <w:tab w:val="left" w:pos="3960"/>
        </w:tabs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při zjištění opakovaného porušování povinností na straně Zhotovitele podle této Smlouvy je Objednatel oprávněn od Smlouvy bez dalšího odstoupit, aniž by stanovil Zhotoviteli lhůtu ke zjednání nápravy,</w:t>
      </w:r>
    </w:p>
    <w:p w14:paraId="0000007C" w14:textId="77777777" w:rsidR="0061485B" w:rsidRPr="003F1442" w:rsidRDefault="00291B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60"/>
          <w:tab w:val="left" w:pos="1980"/>
          <w:tab w:val="left" w:pos="3960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neuhrazení ceny za Dílo Objednatelem po druhé písemné výzvě Zhotovitele k uhrazení dlužné částky, přičemž druhá výzva nesmí být doručena dříve než 30 dnů po doručení první výzvy.</w:t>
      </w:r>
    </w:p>
    <w:p w14:paraId="0000007D" w14:textId="77777777" w:rsidR="0061485B" w:rsidRPr="003F1442" w:rsidRDefault="00291B2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Odstoupením od Smlouvy nezaniká nárok na zaplacení smluvních pokut postižené 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smluvní straně.</w:t>
      </w:r>
    </w:p>
    <w:p w14:paraId="0000007E" w14:textId="77777777" w:rsidR="0061485B" w:rsidRPr="003F1442" w:rsidRDefault="00291B2B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V případě zániku závazku před řádným splněním díla bude Zhotovitel povinen ihned předat Objednateli nedokončené dílo včetně věcí, které opatřil a které jsou součástí díla a uhradit případně vzniklou škodu. Objednatel bude povinen uhradit Zh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otoviteli cenu věcí, které opatřil a které se staly součástí Díla. V takovém případě uzavřou smluvní strany dohodu, ve které upraví vzájemná práva a povinnosti.</w:t>
      </w:r>
    </w:p>
    <w:p w14:paraId="0000007F" w14:textId="77777777" w:rsidR="0061485B" w:rsidRPr="003F1442" w:rsidRDefault="00291B2B" w:rsidP="003F14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line="240" w:lineRule="auto"/>
        <w:ind w:left="0" w:hanging="2"/>
        <w:jc w:val="center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IX.</w:t>
      </w:r>
    </w:p>
    <w:p w14:paraId="00000080" w14:textId="77777777" w:rsidR="0061485B" w:rsidRPr="003F1442" w:rsidRDefault="00291B2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40" w:lineRule="auto"/>
        <w:ind w:left="0" w:hanging="2"/>
        <w:jc w:val="center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Záruky</w:t>
      </w:r>
    </w:p>
    <w:p w14:paraId="00000082" w14:textId="3B602B02" w:rsidR="0061485B" w:rsidRPr="003F1442" w:rsidRDefault="00291B2B" w:rsidP="003F1442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Zhotovitel se zavazuje provést dílo řádně a včas, v souladu se Smlouvou, pokyny Objednatele s odbornou péčí a v souladu se všemi příslušnými standardy, právními a technickými normami platnými v České republice. </w:t>
      </w:r>
    </w:p>
    <w:p w14:paraId="00000083" w14:textId="77777777" w:rsidR="0061485B" w:rsidRPr="003F1442" w:rsidRDefault="00291B2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Zhotovitel poskytuje Objednateli záruku za 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to, že dílo nebude mít právní vady a nebude zatíženo právy třetích osob, které by omezovaly nebo znemožňovaly nakládat s ním. </w:t>
      </w:r>
    </w:p>
    <w:p w14:paraId="00000084" w14:textId="77777777" w:rsidR="0061485B" w:rsidRPr="003F1442" w:rsidRDefault="0061485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40" w:lineRule="auto"/>
        <w:ind w:left="0" w:hanging="2"/>
        <w:jc w:val="center"/>
        <w:rPr>
          <w:rFonts w:ascii="Arial" w:eastAsia="Tahoma" w:hAnsi="Arial" w:cs="Arial"/>
          <w:color w:val="000000"/>
          <w:sz w:val="22"/>
          <w:szCs w:val="22"/>
        </w:rPr>
      </w:pPr>
    </w:p>
    <w:p w14:paraId="00000085" w14:textId="77777777" w:rsidR="0061485B" w:rsidRPr="003F1442" w:rsidRDefault="00291B2B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lastRenderedPageBreak/>
        <w:t>X.</w:t>
      </w:r>
    </w:p>
    <w:p w14:paraId="00000086" w14:textId="77777777" w:rsidR="0061485B" w:rsidRPr="003F1442" w:rsidRDefault="00291B2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b/>
          <w:color w:val="000000"/>
          <w:sz w:val="22"/>
          <w:szCs w:val="22"/>
        </w:rPr>
        <w:t>Závěrečná ujednání</w:t>
      </w:r>
    </w:p>
    <w:p w14:paraId="00000087" w14:textId="77777777" w:rsidR="0061485B" w:rsidRPr="003F1442" w:rsidRDefault="00291B2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Zhotovitel je oprávněn s předchozím písemným souhlasem Objednatele provést část díla stanoveného touto Smlouvou prostřednictvím svého subdodavatele a prohlašuje, že v případě užití subdodavatele odpovídá za výkon subdodavatele ve stejném (tj. neomezeném) r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ozsahu jako kdyby tento výkon poskytl Zhotovitel sám.</w:t>
      </w:r>
    </w:p>
    <w:p w14:paraId="00000088" w14:textId="77777777" w:rsidR="0061485B" w:rsidRPr="003F1442" w:rsidRDefault="00291B2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Změna subdodavatele nebo společníka a rozsahu jeho plnění je v průběhu plnění Díla možná pouze po písemném souhlasu Objednatele. Změna subdodavatele nebo společníka, prostřednictvím kterého byla prokázá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na kvalifikace v rámci zadávacího řízení na základě, kterého byla uzavřena tato Smlouva, je v průběhu plnění Díla možná v důsledku objektivně nepředvídatelných skutečností a pouze za předpokladu, že náhradní subdodavatel prokáže splnění kvalifikace ve shod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ném rozsahu jako subdodavatel původní.</w:t>
      </w:r>
    </w:p>
    <w:p w14:paraId="00000089" w14:textId="77777777" w:rsidR="0061485B" w:rsidRPr="003F1442" w:rsidRDefault="00291B2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Zhotovitel prohlašuje, že předmět zakázky je mu dobře znám a že je odborně způsobilý k provedení Díla podle této Smlouvy, a je i z hlediska dotčených právních předpisů oprávněn tuto Smlouvu uzavřít a Dílo podle ní pro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vést.</w:t>
      </w:r>
    </w:p>
    <w:p w14:paraId="0000008A" w14:textId="77777777" w:rsidR="0061485B" w:rsidRPr="003F1442" w:rsidRDefault="00291B2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Komunikace smluvních stran bude probíhat především písemně, zejména v případech, kdy Smlouva tuto formu komunikace předvídá. Pro účely této Smlouvy se za písemnou formu považuje i komunikace prostřednictvím e-mailu. Pro tyto účely se stanoví následuj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ící kontaktní údaje:</w:t>
      </w:r>
    </w:p>
    <w:p w14:paraId="0000008B" w14:textId="139E84D4" w:rsidR="0061485B" w:rsidRPr="003F1442" w:rsidRDefault="00291B2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Na straně Objednatele:</w:t>
      </w:r>
    </w:p>
    <w:p w14:paraId="0000008C" w14:textId="7DC950E2" w:rsidR="0061485B" w:rsidRPr="003F1442" w:rsidRDefault="003F14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2977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ab/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>Galerie hlavního města Prahy</w:t>
      </w:r>
    </w:p>
    <w:p w14:paraId="0000008D" w14:textId="092935A6" w:rsidR="0061485B" w:rsidRPr="003F1442" w:rsidRDefault="003F14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2977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ab/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>Mgr. Marie Foltýnová, vedoucí Správy veřejné plastiky GHMP</w:t>
      </w:r>
    </w:p>
    <w:p w14:paraId="0000008E" w14:textId="48E58BEA" w:rsidR="0061485B" w:rsidRPr="003F1442" w:rsidRDefault="003F14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2977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ab/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>Staroměstské náměstí 13, 110 00 Praha 1</w:t>
      </w:r>
    </w:p>
    <w:p w14:paraId="0000008F" w14:textId="25A0FB1F" w:rsidR="0061485B" w:rsidRPr="003F1442" w:rsidRDefault="003F14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2977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ab/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>email: marie.foltynova@ghmp.cz</w:t>
      </w:r>
    </w:p>
    <w:p w14:paraId="00000090" w14:textId="470237CE" w:rsidR="0061485B" w:rsidRPr="003F1442" w:rsidRDefault="003F14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ab/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>Na straně Zhotovitele:</w:t>
      </w:r>
    </w:p>
    <w:p w14:paraId="00000091" w14:textId="37A2CE09" w:rsidR="0061485B" w:rsidRPr="003F1442" w:rsidRDefault="003F14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2977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ab/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 xml:space="preserve">Název Zhotovitele:  </w:t>
      </w:r>
      <w:r w:rsidR="00291B2B" w:rsidRPr="003F1442">
        <w:rPr>
          <w:rFonts w:ascii="Arial" w:eastAsia="Tahoma" w:hAnsi="Arial" w:cs="Arial"/>
          <w:color w:val="000000"/>
          <w:sz w:val="22"/>
          <w:szCs w:val="22"/>
          <w:shd w:val="clear" w:color="auto" w:fill="BFBFBF"/>
        </w:rPr>
        <w:t xml:space="preserve"> ...........................</w:t>
      </w:r>
      <w:r>
        <w:rPr>
          <w:rFonts w:ascii="Arial" w:eastAsia="Tahoma" w:hAnsi="Arial" w:cs="Arial"/>
          <w:color w:val="000000"/>
          <w:sz w:val="22"/>
          <w:szCs w:val="22"/>
          <w:shd w:val="clear" w:color="auto" w:fill="BFBFBF"/>
        </w:rPr>
        <w:t>...................................</w:t>
      </w:r>
      <w:r w:rsidR="00291B2B"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(doplní uchazeč)</w:t>
      </w:r>
    </w:p>
    <w:p w14:paraId="00000092" w14:textId="6E50BA78" w:rsidR="0061485B" w:rsidRPr="003F1442" w:rsidRDefault="003F14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2977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ab/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 xml:space="preserve">Poštovní adresa Zhotovitele: </w:t>
      </w:r>
      <w:r w:rsidR="00291B2B" w:rsidRPr="003F1442">
        <w:rPr>
          <w:rFonts w:ascii="Arial" w:eastAsia="Tahoma" w:hAnsi="Arial" w:cs="Arial"/>
          <w:color w:val="000000"/>
          <w:sz w:val="22"/>
          <w:szCs w:val="22"/>
          <w:shd w:val="clear" w:color="auto" w:fill="BFBFBF"/>
        </w:rPr>
        <w:t>...............</w:t>
      </w:r>
      <w:r>
        <w:rPr>
          <w:rFonts w:ascii="Arial" w:eastAsia="Tahoma" w:hAnsi="Arial" w:cs="Arial"/>
          <w:color w:val="000000"/>
          <w:sz w:val="22"/>
          <w:szCs w:val="22"/>
          <w:shd w:val="clear" w:color="auto" w:fill="BFBFBF"/>
        </w:rPr>
        <w:t>.................................</w:t>
      </w:r>
      <w:r w:rsidR="00291B2B"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(doplní uchazeč)</w:t>
      </w:r>
    </w:p>
    <w:p w14:paraId="00000093" w14:textId="53FB2A01" w:rsidR="0061485B" w:rsidRPr="003F1442" w:rsidRDefault="003F14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2977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ab/>
      </w:r>
      <w:r w:rsidR="00291B2B" w:rsidRPr="003F1442">
        <w:rPr>
          <w:rFonts w:ascii="Arial" w:eastAsia="Tahoma" w:hAnsi="Arial" w:cs="Arial"/>
          <w:sz w:val="22"/>
          <w:szCs w:val="22"/>
        </w:rPr>
        <w:t>E</w:t>
      </w:r>
      <w:r w:rsidR="00291B2B" w:rsidRPr="003F1442">
        <w:rPr>
          <w:rFonts w:ascii="Arial" w:eastAsia="Tahoma" w:hAnsi="Arial" w:cs="Arial"/>
          <w:color w:val="000000"/>
          <w:sz w:val="22"/>
          <w:szCs w:val="22"/>
        </w:rPr>
        <w:t>mail</w:t>
      </w:r>
      <w:r w:rsidR="00291B2B" w:rsidRPr="003F1442">
        <w:rPr>
          <w:rFonts w:ascii="Arial" w:eastAsia="Tahoma" w:hAnsi="Arial" w:cs="Arial"/>
          <w:color w:val="000000"/>
          <w:sz w:val="22"/>
          <w:szCs w:val="22"/>
          <w:highlight w:val="white"/>
        </w:rPr>
        <w:t xml:space="preserve">: </w:t>
      </w:r>
      <w:r w:rsidR="00291B2B" w:rsidRPr="003F1442">
        <w:rPr>
          <w:rFonts w:ascii="Arial" w:eastAsia="Tahoma" w:hAnsi="Arial" w:cs="Arial"/>
          <w:color w:val="000000"/>
          <w:sz w:val="22"/>
          <w:szCs w:val="22"/>
          <w:shd w:val="clear" w:color="auto" w:fill="BFBFBF"/>
        </w:rPr>
        <w:t>..............</w:t>
      </w:r>
      <w:r>
        <w:rPr>
          <w:rFonts w:ascii="Arial" w:eastAsia="Tahoma" w:hAnsi="Arial" w:cs="Arial"/>
          <w:color w:val="000000"/>
          <w:sz w:val="22"/>
          <w:szCs w:val="22"/>
          <w:shd w:val="clear" w:color="auto" w:fill="BFBFBF"/>
        </w:rPr>
        <w:t>......................................................................</w:t>
      </w:r>
      <w:r w:rsidR="00291B2B"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(doplní uchazeč)</w:t>
      </w:r>
    </w:p>
    <w:p w14:paraId="00000094" w14:textId="77777777" w:rsidR="0061485B" w:rsidRPr="003F1442" w:rsidRDefault="00291B2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00000095" w14:textId="77777777" w:rsidR="0061485B" w:rsidRPr="003F1442" w:rsidRDefault="00291B2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 w:rsidRPr="003F1442">
        <w:rPr>
          <w:rFonts w:ascii="Arial" w:eastAsia="Tahoma" w:hAnsi="Arial" w:cs="Arial"/>
          <w:color w:val="000000"/>
          <w:sz w:val="22"/>
          <w:szCs w:val="22"/>
        </w:rPr>
        <w:t>Objednatel si vyhrazuje v souladu s ustanov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ením §344, zákona č. 513/1991 Sb., obchodní zákoník, právo odstoupit od Smlouvy v případě, že mu nebudou od jeho zřizovatele – Hlavního města Prahy, poskytnuty finanční prostředky vždy pro následující etapu nebo část etapy, dle čl. VI této Smlouvy, zhotovo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vání díla.</w:t>
      </w:r>
    </w:p>
    <w:p w14:paraId="00000096" w14:textId="77777777" w:rsidR="0061485B" w:rsidRPr="003F1442" w:rsidRDefault="00291B2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Zhotovitel nemůže bez souhlasu Objednatele postoupit svá práva a povinnosti plynoucí z této Smlouvy třetí osobě.</w:t>
      </w:r>
    </w:p>
    <w:p w14:paraId="00000097" w14:textId="77777777" w:rsidR="0061485B" w:rsidRPr="003F1442" w:rsidRDefault="00291B2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lastRenderedPageBreak/>
        <w:t>Ukáže-li se kterékoliv ustanovení této Smlouvy neplatné, neúčinné nebo nevykonatelné, nemá to vliv na platnost, účinnost a vykonatel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nost ostatních ujednání Smlouvy a Smlouvy jako celku – smluvní strany jsou pro ten případ povinny poskytnout si neprodlenou součinnost k tomu, aby takové neplatné, neúčinné nebo nevykonatelné ustanovení nahradili takovým platným, účinným a vykonatelným ust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anovením, které co nejvíce odpovídá hospodářskému účelu této Smlouvy, to samé platí pro případ smluvní mezery.</w:t>
      </w:r>
    </w:p>
    <w:p w14:paraId="00000098" w14:textId="77777777" w:rsidR="0061485B" w:rsidRPr="003F1442" w:rsidRDefault="00291B2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Smlouva nabývá účinnosti dnem její platnosti a platnosti dnem, kdy vyjádření souhlasu s obsahem návrhu dojde druhé smluvní straně.</w:t>
      </w:r>
    </w:p>
    <w:p w14:paraId="00000099" w14:textId="77777777" w:rsidR="0061485B" w:rsidRPr="003F1442" w:rsidRDefault="00291B2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Smlouva je vyh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otovena ve čtyřech stejnopisech s platností originálu, přičemž Objednatel obdrží tři a Zhotovitel jedno vyhotovení.</w:t>
      </w:r>
    </w:p>
    <w:p w14:paraId="0000009A" w14:textId="77777777" w:rsidR="0061485B" w:rsidRPr="003F1442" w:rsidRDefault="00291B2B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after="120"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Smluvní strany po jejím přečtení prohlašují, že souhlasí s jejím obsahem, že Smlouva byla sepsána určitě, srozumitelně, na základě jejich pr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>avé a svobodné vůle, bez nátlaku na některou ze stran. Na důkaz toho připojují své podpisy.</w:t>
      </w:r>
    </w:p>
    <w:p w14:paraId="0000009B" w14:textId="77777777" w:rsidR="0061485B" w:rsidRPr="003F1442" w:rsidRDefault="00291B2B">
      <w:pPr>
        <w:keepNext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Nedílnou součástí Smlouvy je Příloha č. 4 ZD – Položkový rozpočet</w:t>
      </w:r>
    </w:p>
    <w:p w14:paraId="0000009C" w14:textId="77777777" w:rsidR="0061485B" w:rsidRPr="003F1442" w:rsidRDefault="0061485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14:paraId="0000009D" w14:textId="77777777" w:rsidR="0061485B" w:rsidRPr="003F1442" w:rsidRDefault="0061485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14:paraId="000000A7" w14:textId="77777777" w:rsidR="0061485B" w:rsidRPr="003F1442" w:rsidRDefault="0061485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14:paraId="000000A8" w14:textId="77777777" w:rsidR="0061485B" w:rsidRPr="003F1442" w:rsidRDefault="0061485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14:paraId="000000A9" w14:textId="1BE922C5" w:rsidR="0061485B" w:rsidRPr="003F1442" w:rsidRDefault="00291B2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V Praze dne 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</w:p>
    <w:p w14:paraId="000000AA" w14:textId="0C2D9CAD" w:rsidR="0061485B" w:rsidRPr="003F1442" w:rsidRDefault="00291B2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</w:p>
    <w:p w14:paraId="000000AB" w14:textId="77777777" w:rsidR="0061485B" w:rsidRPr="003F1442" w:rsidRDefault="00291B2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Objednatel: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</w:r>
      <w:r w:rsidRPr="003F1442">
        <w:rPr>
          <w:rFonts w:ascii="Arial" w:eastAsia="Tahoma" w:hAnsi="Arial" w:cs="Arial"/>
          <w:color w:val="000000"/>
          <w:sz w:val="22"/>
          <w:szCs w:val="22"/>
        </w:rPr>
        <w:tab/>
        <w:t>Zhotovitel:</w:t>
      </w:r>
    </w:p>
    <w:p w14:paraId="000000AC" w14:textId="77777777" w:rsidR="0061485B" w:rsidRPr="003F1442" w:rsidRDefault="0061485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14:paraId="000000AD" w14:textId="77777777" w:rsidR="0061485B" w:rsidRPr="003F1442" w:rsidRDefault="0061485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14:paraId="000000AE" w14:textId="77777777" w:rsidR="0061485B" w:rsidRPr="003F1442" w:rsidRDefault="0061485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000000AF" w14:textId="77777777" w:rsidR="0061485B" w:rsidRPr="003F1442" w:rsidRDefault="0061485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000000B0" w14:textId="3AB0A533" w:rsidR="0061485B" w:rsidRPr="003F1442" w:rsidRDefault="00291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>________________________________</w:t>
      </w:r>
      <w:r w:rsidR="003F1442">
        <w:rPr>
          <w:rFonts w:ascii="Arial" w:eastAsia="Tahoma" w:hAnsi="Arial" w:cs="Arial"/>
          <w:color w:val="000000"/>
          <w:sz w:val="22"/>
          <w:szCs w:val="22"/>
        </w:rPr>
        <w:tab/>
      </w:r>
      <w:r w:rsidR="003F1442">
        <w:rPr>
          <w:rFonts w:ascii="Arial" w:eastAsia="Tahoma" w:hAnsi="Arial" w:cs="Arial"/>
          <w:color w:val="000000"/>
          <w:sz w:val="22"/>
          <w:szCs w:val="22"/>
        </w:rPr>
        <w:tab/>
      </w:r>
      <w:r w:rsidR="003F1442" w:rsidRPr="003F1442">
        <w:rPr>
          <w:rFonts w:ascii="Arial" w:eastAsia="Tahoma" w:hAnsi="Arial" w:cs="Arial"/>
          <w:color w:val="000000"/>
          <w:sz w:val="22"/>
          <w:szCs w:val="22"/>
        </w:rPr>
        <w:t>________________________________</w:t>
      </w:r>
    </w:p>
    <w:p w14:paraId="000000B1" w14:textId="533E0F72" w:rsidR="0061485B" w:rsidRPr="003F1442" w:rsidRDefault="00291B2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      PhDr. Magdalena Juříková,</w:t>
      </w:r>
      <w:r w:rsidR="003F1442">
        <w:rPr>
          <w:rFonts w:ascii="Arial" w:eastAsia="Tahoma" w:hAnsi="Arial" w:cs="Arial"/>
          <w:color w:val="000000"/>
          <w:sz w:val="22"/>
          <w:szCs w:val="22"/>
        </w:rPr>
        <w:tab/>
      </w:r>
      <w:r w:rsidR="003F1442">
        <w:rPr>
          <w:rFonts w:ascii="Arial" w:eastAsia="Tahoma" w:hAnsi="Arial" w:cs="Arial"/>
          <w:color w:val="000000"/>
          <w:sz w:val="22"/>
          <w:szCs w:val="22"/>
        </w:rPr>
        <w:tab/>
      </w:r>
      <w:r w:rsidR="003F1442">
        <w:rPr>
          <w:rFonts w:ascii="Arial" w:eastAsia="Tahoma" w:hAnsi="Arial" w:cs="Arial"/>
          <w:color w:val="000000"/>
          <w:sz w:val="22"/>
          <w:szCs w:val="22"/>
        </w:rPr>
        <w:tab/>
      </w:r>
      <w:r w:rsidR="003F1442" w:rsidRPr="003F1442">
        <w:rPr>
          <w:rFonts w:ascii="Arial" w:eastAsia="Tahoma" w:hAnsi="Arial" w:cs="Arial"/>
          <w:color w:val="000000"/>
          <w:sz w:val="22"/>
          <w:szCs w:val="22"/>
          <w:shd w:val="clear" w:color="auto" w:fill="BFBFBF"/>
        </w:rPr>
        <w:t>..</w:t>
      </w:r>
      <w:r w:rsidR="003F1442">
        <w:rPr>
          <w:rFonts w:ascii="Arial" w:eastAsia="Tahoma" w:hAnsi="Arial" w:cs="Arial"/>
          <w:color w:val="000000"/>
          <w:sz w:val="22"/>
          <w:szCs w:val="22"/>
          <w:shd w:val="clear" w:color="auto" w:fill="BFBFBF"/>
        </w:rPr>
        <w:t>...........................</w:t>
      </w:r>
      <w:r w:rsidR="003F1442">
        <w:rPr>
          <w:rFonts w:ascii="Arial" w:eastAsia="Tahoma" w:hAnsi="Arial" w:cs="Arial"/>
          <w:color w:val="000000"/>
          <w:sz w:val="22"/>
          <w:szCs w:val="22"/>
          <w:shd w:val="clear" w:color="auto" w:fill="BFBFBF"/>
        </w:rPr>
        <w:t>.</w:t>
      </w:r>
      <w:bookmarkStart w:id="1" w:name="_GoBack"/>
      <w:bookmarkEnd w:id="1"/>
      <w:r w:rsidR="003F1442">
        <w:rPr>
          <w:rFonts w:ascii="Arial" w:eastAsia="Tahoma" w:hAnsi="Arial" w:cs="Arial"/>
          <w:color w:val="000000"/>
          <w:sz w:val="22"/>
          <w:szCs w:val="22"/>
          <w:shd w:val="clear" w:color="auto" w:fill="BFBFBF"/>
        </w:rPr>
        <w:t>........</w:t>
      </w:r>
      <w:r w:rsidR="003F1442" w:rsidRPr="003F1442">
        <w:rPr>
          <w:rFonts w:ascii="Arial" w:eastAsia="Tahoma" w:hAnsi="Arial" w:cs="Arial"/>
          <w:color w:val="000000"/>
          <w:sz w:val="22"/>
          <w:szCs w:val="22"/>
          <w:highlight w:val="lightGray"/>
        </w:rPr>
        <w:t>(doplní uchazeč)</w:t>
      </w:r>
    </w:p>
    <w:p w14:paraId="000000B2" w14:textId="310DC865" w:rsidR="0061485B" w:rsidRPr="003F1442" w:rsidRDefault="00291B2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ředitelka Galerie hlavního města Prahy                   </w:t>
      </w:r>
      <w:r w:rsidRPr="003F1442">
        <w:rPr>
          <w:rFonts w:ascii="Arial" w:eastAsia="Tahoma" w:hAnsi="Arial" w:cs="Arial"/>
          <w:color w:val="000000"/>
          <w:sz w:val="22"/>
          <w:szCs w:val="22"/>
        </w:rPr>
        <w:t xml:space="preserve">   </w:t>
      </w:r>
    </w:p>
    <w:p w14:paraId="000000B3" w14:textId="77777777" w:rsidR="0061485B" w:rsidRPr="003F1442" w:rsidRDefault="0061485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76" w:lineRule="auto"/>
        <w:ind w:left="0" w:hanging="2"/>
        <w:jc w:val="right"/>
        <w:rPr>
          <w:rFonts w:ascii="Arial" w:eastAsia="Tahoma" w:hAnsi="Arial" w:cs="Arial"/>
          <w:color w:val="000000"/>
          <w:sz w:val="22"/>
          <w:szCs w:val="22"/>
        </w:rPr>
      </w:pPr>
    </w:p>
    <w:sectPr w:rsidR="0061485B" w:rsidRPr="003F1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680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20EE0" w14:textId="77777777" w:rsidR="00291B2B" w:rsidRDefault="00291B2B">
      <w:pPr>
        <w:spacing w:line="240" w:lineRule="auto"/>
        <w:ind w:left="0" w:hanging="2"/>
      </w:pPr>
      <w:r>
        <w:separator/>
      </w:r>
    </w:p>
  </w:endnote>
  <w:endnote w:type="continuationSeparator" w:id="0">
    <w:p w14:paraId="6ECED9F8" w14:textId="77777777" w:rsidR="00291B2B" w:rsidRDefault="00291B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2773" w14:textId="77777777" w:rsidR="003F1442" w:rsidRDefault="003F1442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A" w14:textId="77777777" w:rsidR="0061485B" w:rsidRDefault="0061485B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</w:p>
  <w:p w14:paraId="000000BB" w14:textId="75D1B4DD" w:rsidR="0061485B" w:rsidRDefault="00291B2B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rPr>
        <w:rFonts w:ascii="Tahoma" w:eastAsia="Tahoma" w:hAnsi="Tahoma" w:cs="Tahoma"/>
        <w:color w:val="000000"/>
        <w:sz w:val="18"/>
        <w:szCs w:val="18"/>
      </w:rPr>
    </w:pPr>
    <w:r>
      <w:rPr>
        <w:color w:val="000000"/>
        <w:sz w:val="16"/>
        <w:szCs w:val="16"/>
      </w:rPr>
      <w:tab/>
    </w:r>
    <w:r>
      <w:rPr>
        <w:rFonts w:ascii="Tahoma" w:eastAsia="Tahoma" w:hAnsi="Tahoma" w:cs="Tahoma"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color w:val="000000"/>
        <w:sz w:val="18"/>
        <w:szCs w:val="18"/>
      </w:rPr>
      <w:instrText>PAGE</w:instrText>
    </w:r>
    <w:r w:rsidR="003F1442">
      <w:rPr>
        <w:rFonts w:ascii="Tahoma" w:eastAsia="Tahoma" w:hAnsi="Tahoma" w:cs="Tahoma"/>
        <w:color w:val="000000"/>
        <w:sz w:val="18"/>
        <w:szCs w:val="18"/>
      </w:rPr>
      <w:fldChar w:fldCharType="separate"/>
    </w:r>
    <w:r w:rsidR="003F1442">
      <w:rPr>
        <w:rFonts w:ascii="Tahoma" w:eastAsia="Tahoma" w:hAnsi="Tahoma" w:cs="Tahoma"/>
        <w:noProof/>
        <w:color w:val="000000"/>
        <w:sz w:val="18"/>
        <w:szCs w:val="18"/>
      </w:rPr>
      <w:t>2</w:t>
    </w:r>
    <w:r>
      <w:rPr>
        <w:rFonts w:ascii="Tahoma" w:eastAsia="Tahoma" w:hAnsi="Tahoma" w:cs="Tahoma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8" w14:textId="426D51B0" w:rsidR="0061485B" w:rsidRDefault="00291B2B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</w:rPr>
    </w:pP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 w:rsidR="003F1442">
      <w:rPr>
        <w:color w:val="000000"/>
        <w:sz w:val="20"/>
      </w:rPr>
      <w:fldChar w:fldCharType="separate"/>
    </w:r>
    <w:r w:rsidR="003F1442">
      <w:rPr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  <w:p w14:paraId="000000B9" w14:textId="77777777" w:rsidR="0061485B" w:rsidRDefault="006148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DE8D4" w14:textId="77777777" w:rsidR="00291B2B" w:rsidRDefault="00291B2B">
      <w:pPr>
        <w:spacing w:line="240" w:lineRule="auto"/>
        <w:ind w:left="0" w:hanging="2"/>
      </w:pPr>
      <w:r>
        <w:separator/>
      </w:r>
    </w:p>
  </w:footnote>
  <w:footnote w:type="continuationSeparator" w:id="0">
    <w:p w14:paraId="0DC32E05" w14:textId="77777777" w:rsidR="00291B2B" w:rsidRDefault="00291B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92AA4" w14:textId="77777777" w:rsidR="003F1442" w:rsidRDefault="003F1442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BF262" w14:textId="77777777" w:rsidR="003F1442" w:rsidRDefault="003F1442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4" w14:textId="77777777" w:rsidR="0061485B" w:rsidRPr="003F1442" w:rsidRDefault="00291B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Tahoma" w:hAnsi="Arial" w:cs="Arial"/>
        <w:color w:val="000000"/>
        <w:sz w:val="18"/>
        <w:szCs w:val="18"/>
      </w:rPr>
    </w:pPr>
    <w:r w:rsidRPr="003F1442">
      <w:rPr>
        <w:rFonts w:ascii="Arial" w:eastAsia="Tahoma" w:hAnsi="Arial" w:cs="Arial"/>
        <w:color w:val="000000"/>
        <w:sz w:val="18"/>
        <w:szCs w:val="18"/>
      </w:rPr>
      <w:t>ZADÁVACÍ DOKUMENTACE: „Zajištění výběru organizátora soutěžního dialogu - Světlo pro metro“</w:t>
    </w:r>
  </w:p>
  <w:p w14:paraId="000000B5" w14:textId="77777777" w:rsidR="0061485B" w:rsidRPr="003F1442" w:rsidRDefault="006148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Tahoma" w:hAnsi="Arial" w:cs="Arial"/>
        <w:color w:val="000000"/>
        <w:sz w:val="18"/>
        <w:szCs w:val="18"/>
      </w:rPr>
    </w:pPr>
  </w:p>
  <w:p w14:paraId="000000B6" w14:textId="7FFA8BA8" w:rsidR="0061485B" w:rsidRPr="003F1442" w:rsidRDefault="00291B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Tahoma" w:hAnsi="Arial" w:cs="Arial"/>
        <w:color w:val="000000"/>
        <w:sz w:val="18"/>
        <w:szCs w:val="18"/>
      </w:rPr>
    </w:pPr>
    <w:r w:rsidRPr="003F1442">
      <w:rPr>
        <w:rFonts w:ascii="Arial" w:eastAsia="Tahoma" w:hAnsi="Arial" w:cs="Arial"/>
        <w:color w:val="000000"/>
        <w:sz w:val="18"/>
        <w:szCs w:val="18"/>
      </w:rPr>
      <w:t>Příloha č. 3 - Návrh smlouvy o dílo</w:t>
    </w:r>
  </w:p>
  <w:p w14:paraId="49CCAF61" w14:textId="6EA13AC9" w:rsidR="003F1442" w:rsidRDefault="003F144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ahoma" w:eastAsia="Tahoma" w:hAnsi="Tahoma" w:cs="Tahoma"/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 wp14:anchorId="3A592FF3" wp14:editId="0A914BBB">
          <wp:extent cx="2592000" cy="105097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3721" t="24566" r="13690" b="23374"/>
                  <a:stretch>
                    <a:fillRect/>
                  </a:stretch>
                </pic:blipFill>
                <pic:spPr>
                  <a:xfrm>
                    <a:off x="0" y="0"/>
                    <a:ext cx="2592000" cy="105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B7" w14:textId="77777777" w:rsidR="0061485B" w:rsidRDefault="006148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15D"/>
    <w:multiLevelType w:val="multilevel"/>
    <w:tmpl w:val="82B28E7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9713D88"/>
    <w:multiLevelType w:val="multilevel"/>
    <w:tmpl w:val="A15CB3F8"/>
    <w:lvl w:ilvl="0">
      <w:start w:val="1"/>
      <w:numFmt w:val="decimal"/>
      <w:lvlText w:val="%1)"/>
      <w:lvlJc w:val="left"/>
      <w:pPr>
        <w:ind w:left="357" w:hanging="357"/>
      </w:pPr>
      <w:rPr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7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abstractNum w:abstractNumId="2" w15:restartNumberingAfterBreak="0">
    <w:nsid w:val="1DDD602A"/>
    <w:multiLevelType w:val="multilevel"/>
    <w:tmpl w:val="E28E25F2"/>
    <w:lvl w:ilvl="0">
      <w:start w:val="1"/>
      <w:numFmt w:val="lowerLetter"/>
      <w:lvlText w:val="%1)"/>
      <w:lvlJc w:val="left"/>
      <w:pPr>
        <w:ind w:left="71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vertAlign w:val="baseline"/>
      </w:rPr>
    </w:lvl>
  </w:abstractNum>
  <w:abstractNum w:abstractNumId="3" w15:restartNumberingAfterBreak="0">
    <w:nsid w:val="21C362F7"/>
    <w:multiLevelType w:val="multilevel"/>
    <w:tmpl w:val="6E46EA88"/>
    <w:lvl w:ilvl="0">
      <w:start w:val="1"/>
      <w:numFmt w:val="decimal"/>
      <w:pStyle w:val="OdstavecSmlouvy"/>
      <w:lvlText w:val="%1)"/>
      <w:lvlJc w:val="left"/>
      <w:pPr>
        <w:ind w:left="357" w:hanging="357"/>
      </w:pPr>
      <w:rPr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7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abstractNum w:abstractNumId="4" w15:restartNumberingAfterBreak="0">
    <w:nsid w:val="2A06710E"/>
    <w:multiLevelType w:val="multilevel"/>
    <w:tmpl w:val="03BEF64E"/>
    <w:lvl w:ilvl="0">
      <w:start w:val="1"/>
      <w:numFmt w:val="decimal"/>
      <w:lvlText w:val="%1)"/>
      <w:lvlJc w:val="left"/>
      <w:pPr>
        <w:ind w:left="357" w:hanging="357"/>
      </w:pPr>
      <w:rPr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7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abstractNum w:abstractNumId="5" w15:restartNumberingAfterBreak="0">
    <w:nsid w:val="33323C1D"/>
    <w:multiLevelType w:val="multilevel"/>
    <w:tmpl w:val="BF5E046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602C41E1"/>
    <w:multiLevelType w:val="multilevel"/>
    <w:tmpl w:val="8168EFA2"/>
    <w:lvl w:ilvl="0">
      <w:start w:val="1"/>
      <w:numFmt w:val="decimal"/>
      <w:lvlText w:val="%1)"/>
      <w:lvlJc w:val="left"/>
      <w:pPr>
        <w:ind w:left="357" w:hanging="357"/>
      </w:pPr>
      <w:rPr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7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abstractNum w:abstractNumId="7" w15:restartNumberingAfterBreak="0">
    <w:nsid w:val="60421B5D"/>
    <w:multiLevelType w:val="multilevel"/>
    <w:tmpl w:val="8D1E5CBE"/>
    <w:lvl w:ilvl="0">
      <w:start w:val="1"/>
      <w:numFmt w:val="decimal"/>
      <w:pStyle w:val="slovnvSOD"/>
      <w:lvlText w:val="%1)"/>
      <w:lvlJc w:val="left"/>
      <w:pPr>
        <w:ind w:left="357" w:hanging="357"/>
      </w:pPr>
      <w:rPr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7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abstractNum w:abstractNumId="8" w15:restartNumberingAfterBreak="0">
    <w:nsid w:val="628F43E7"/>
    <w:multiLevelType w:val="multilevel"/>
    <w:tmpl w:val="5BB0E51A"/>
    <w:lvl w:ilvl="0">
      <w:start w:val="1"/>
      <w:numFmt w:val="lowerLetter"/>
      <w:pStyle w:val="slovanPododstavecSmlouvy"/>
      <w:lvlText w:val="%1)"/>
      <w:lvlJc w:val="left"/>
      <w:pPr>
        <w:ind w:left="71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vertAlign w:val="baseline"/>
      </w:rPr>
    </w:lvl>
  </w:abstractNum>
  <w:abstractNum w:abstractNumId="9" w15:restartNumberingAfterBreak="0">
    <w:nsid w:val="65B340A8"/>
    <w:multiLevelType w:val="multilevel"/>
    <w:tmpl w:val="423E9AE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8112583"/>
    <w:multiLevelType w:val="multilevel"/>
    <w:tmpl w:val="5016C738"/>
    <w:lvl w:ilvl="0">
      <w:start w:val="1"/>
      <w:numFmt w:val="decimal"/>
      <w:lvlText w:val="%1)"/>
      <w:lvlJc w:val="left"/>
      <w:pPr>
        <w:ind w:left="357" w:hanging="357"/>
      </w:pPr>
      <w:rPr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77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abstractNum w:abstractNumId="11" w15:restartNumberingAfterBreak="0">
    <w:nsid w:val="72FC06D1"/>
    <w:multiLevelType w:val="multilevel"/>
    <w:tmpl w:val="539AC3F8"/>
    <w:lvl w:ilvl="0">
      <w:start w:val="1"/>
      <w:numFmt w:val="decimal"/>
      <w:lvlText w:val="%1."/>
      <w:lvlJc w:val="left"/>
      <w:pPr>
        <w:ind w:left="788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5B"/>
    <w:rsid w:val="00291B2B"/>
    <w:rsid w:val="003F1442"/>
    <w:rsid w:val="0061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94EF"/>
  <w15:docId w15:val="{D5D9DE99-5359-4D7C-BE94-1EF8740B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Nadpis1">
    <w:name w:val="heading 1"/>
    <w:basedOn w:val="Normln"/>
    <w:next w:val="Normln"/>
    <w:pPr>
      <w:keepNext/>
    </w:pPr>
    <w:rPr>
      <w:b/>
      <w:u w:val="single"/>
    </w:rPr>
  </w:style>
  <w:style w:type="paragraph" w:styleId="Nadpis2">
    <w:name w:val="heading 2"/>
    <w:basedOn w:val="Normln"/>
    <w:next w:val="Normln"/>
    <w:pPr>
      <w:keepNext/>
      <w:jc w:val="right"/>
      <w:outlineLvl w:val="1"/>
    </w:pPr>
  </w:style>
  <w:style w:type="paragraph" w:styleId="Nadpis3">
    <w:name w:val="heading 3"/>
    <w:basedOn w:val="Normln"/>
    <w:next w:val="Normln"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</w:style>
  <w:style w:type="paragraph" w:styleId="Textkomente">
    <w:name w:val="annotation text"/>
    <w:basedOn w:val="Normln"/>
    <w:rPr>
      <w:sz w:val="20"/>
    </w:r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-slo0">
    <w:name w:val="Smlouva-číslo"/>
    <w:basedOn w:val="Normln"/>
    <w:pPr>
      <w:spacing w:before="120" w:line="240" w:lineRule="atLeast"/>
      <w:jc w:val="both"/>
    </w:pPr>
  </w:style>
  <w:style w:type="paragraph" w:customStyle="1" w:styleId="ZhlavhoheaderoddfirstheadingoneOddHeaderh">
    <w:name w:val="Záhlaví;ho;header odd;first;heading one;Odd Header;h"/>
    <w:basedOn w:val="Normln"/>
  </w:style>
  <w:style w:type="paragraph" w:styleId="Zpat">
    <w:name w:val="footer"/>
    <w:basedOn w:val="Normln"/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odsazen3">
    <w:name w:val="Body Text Indent 3"/>
    <w:basedOn w:val="Normln"/>
    <w:pPr>
      <w:ind w:firstLine="426"/>
      <w:jc w:val="both"/>
    </w:pPr>
    <w:rPr>
      <w:snapToGrid w:val="0"/>
    </w:rPr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spacing w:before="120"/>
      <w:ind w:left="426"/>
      <w:jc w:val="both"/>
    </w:pPr>
  </w:style>
  <w:style w:type="paragraph" w:styleId="Zkladntextodsazen2">
    <w:name w:val="Body Text Indent 2"/>
    <w:basedOn w:val="Normln"/>
    <w:pPr>
      <w:ind w:left="426" w:hanging="426"/>
      <w:jc w:val="both"/>
    </w:pPr>
    <w:rPr>
      <w:iCs/>
    </w:rPr>
  </w:style>
  <w:style w:type="character" w:styleId="Sledovanodkaz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Znakapoznpod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lovnvSOD">
    <w:name w:val="číslování v SOD"/>
    <w:basedOn w:val="Zkladntext"/>
    <w:pPr>
      <w:widowControl w:val="0"/>
      <w:numPr>
        <w:numId w:val="1"/>
      </w:numPr>
      <w:spacing w:after="120"/>
      <w:ind w:left="-1" w:hanging="1"/>
    </w:pPr>
    <w:rPr>
      <w:rFonts w:ascii="Arial" w:hAnsi="Arial"/>
      <w:sz w:val="22"/>
    </w:rPr>
  </w:style>
  <w:style w:type="paragraph" w:customStyle="1" w:styleId="slovanPododstavecSmlouvy">
    <w:name w:val="ČíslovanýPododstavecSmlouvy"/>
    <w:basedOn w:val="Zkladntext"/>
    <w:pPr>
      <w:numPr>
        <w:numId w:val="2"/>
      </w:numPr>
      <w:tabs>
        <w:tab w:val="left" w:pos="284"/>
        <w:tab w:val="left" w:pos="1260"/>
        <w:tab w:val="left" w:pos="1980"/>
        <w:tab w:val="left" w:pos="3960"/>
      </w:tabs>
      <w:ind w:left="-1" w:hanging="1"/>
    </w:pPr>
    <w:rPr>
      <w:szCs w:val="24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</w:rPr>
  </w:style>
  <w:style w:type="paragraph" w:customStyle="1" w:styleId="NzevSmlouvy">
    <w:name w:val="NázevSmlouvy"/>
    <w:basedOn w:val="ZhlavhoheaderoddfirstheadingoneOddHeaderh"/>
    <w:next w:val="Normln"/>
    <w:pPr>
      <w:keepNext/>
      <w:widowControl w:val="0"/>
      <w:spacing w:before="480"/>
      <w:jc w:val="center"/>
    </w:pPr>
    <w:rPr>
      <w:b/>
      <w:bCs/>
      <w:sz w:val="32"/>
    </w:rPr>
  </w:style>
  <w:style w:type="paragraph" w:customStyle="1" w:styleId="OdstavecSmlouvy">
    <w:name w:val="OdstavecSmlouvy"/>
    <w:basedOn w:val="Normln"/>
    <w:pPr>
      <w:keepLines/>
      <w:numPr>
        <w:numId w:val="7"/>
      </w:numPr>
      <w:tabs>
        <w:tab w:val="left" w:pos="426"/>
        <w:tab w:val="left" w:pos="1701"/>
      </w:tabs>
      <w:spacing w:after="120"/>
      <w:ind w:left="-1" w:hanging="1"/>
      <w:jc w:val="both"/>
    </w:pPr>
  </w:style>
  <w:style w:type="paragraph" w:customStyle="1" w:styleId="SmluvnStrana">
    <w:name w:val="SmluvníStrana"/>
    <w:basedOn w:val="Normln"/>
    <w:next w:val="Normln"/>
    <w:pPr>
      <w:ind w:left="357" w:hanging="357"/>
    </w:pPr>
    <w:rPr>
      <w:b/>
    </w:rPr>
  </w:style>
  <w:style w:type="paragraph" w:customStyle="1" w:styleId="dajeOSmluvnStran">
    <w:name w:val="ÚdajeOSmluvníStraně"/>
    <w:basedOn w:val="Normln"/>
    <w:pPr>
      <w:ind w:left="357"/>
    </w:p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PedmtkomenteChar">
    <w:name w:val="Předmět komentáře Char"/>
    <w:basedOn w:val="TextkomenteChar"/>
    <w:rPr>
      <w:w w:val="100"/>
      <w:position w:val="-1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  <w:jc w:val="both"/>
    </w:pPr>
    <w:rPr>
      <w:rFonts w:ascii="Tahoma" w:eastAsia="Calibri" w:hAnsi="Tahoma"/>
      <w:sz w:val="20"/>
      <w:szCs w:val="22"/>
      <w:lang w:eastAsia="en-US"/>
    </w:rPr>
  </w:style>
  <w:style w:type="paragraph" w:styleId="Obsah4">
    <w:name w:val="toc 4"/>
    <w:basedOn w:val="Normln"/>
    <w:next w:val="Normln"/>
    <w:pPr>
      <w:ind w:left="720"/>
    </w:pPr>
    <w:rPr>
      <w:szCs w:val="24"/>
    </w:rPr>
  </w:style>
  <w:style w:type="paragraph" w:customStyle="1" w:styleId="odrazky">
    <w:name w:val="odrazky"/>
    <w:basedOn w:val="Zkladntext"/>
    <w:pPr>
      <w:widowControl w:val="0"/>
      <w:suppressAutoHyphens w:val="0"/>
      <w:spacing w:before="57" w:after="57" w:line="264" w:lineRule="auto"/>
      <w:ind w:left="283" w:right="57"/>
    </w:pPr>
    <w:rPr>
      <w:rFonts w:ascii="Arial" w:hAnsi="Arial"/>
      <w:sz w:val="20"/>
    </w:rPr>
  </w:style>
  <w:style w:type="character" w:customStyle="1" w:styleId="ZhlavChar">
    <w:name w:val="Záhlaví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ln"/>
    <w:pPr>
      <w:widowControl w:val="0"/>
      <w:jc w:val="both"/>
    </w:pPr>
    <w:rPr>
      <w:sz w:val="2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1"/>
    <w:uiPriority w:val="99"/>
    <w:unhideWhenUsed/>
    <w:rsid w:val="003F144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3F1442"/>
    <w:rPr>
      <w:position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/VFAdSZUmRcJ4QBKw99IEc387A==">AMUW2mVDFeH4BLqCnHNxER7cIUK2ioHnYQ+K+8bpa59P1M2/euSBOeLUT64FMPdzL1KVBJYyzVqGv20qA4AylxRsaIQ87PO7BSRbJKrotiiwpcZHQDiqXveYjJ81nf7yUlMQfRbmm5cR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2101</Words>
  <Characters>12399</Characters>
  <Application>Microsoft Office Word</Application>
  <DocSecurity>0</DocSecurity>
  <Lines>103</Lines>
  <Paragraphs>28</Paragraphs>
  <ScaleCrop>false</ScaleCrop>
  <Company>Galerie hl. m. Prahy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Martina</cp:lastModifiedBy>
  <cp:revision>2</cp:revision>
  <dcterms:created xsi:type="dcterms:W3CDTF">2021-06-18T12:22:00Z</dcterms:created>
  <dcterms:modified xsi:type="dcterms:W3CDTF">2021-06-24T09:49:00Z</dcterms:modified>
</cp:coreProperties>
</file>